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71" w:rsidRPr="008405DC" w:rsidRDefault="00A42866" w:rsidP="00501751">
      <w:pPr>
        <w:rPr>
          <w:b/>
          <w:color w:val="FF9900"/>
        </w:rPr>
      </w:pPr>
      <w:r w:rsidRPr="008405DC">
        <w:rPr>
          <w:b/>
          <w:noProof/>
          <w:color w:val="FF9900"/>
        </w:rPr>
        <w:drawing>
          <wp:inline distT="0" distB="0" distL="0" distR="0">
            <wp:extent cx="971550" cy="438150"/>
            <wp:effectExtent l="0" t="0" r="0" b="0"/>
            <wp:docPr id="1" name="Picture 1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71" w:rsidRPr="008405DC" w:rsidRDefault="00103471" w:rsidP="00501751">
      <w:pPr>
        <w:rPr>
          <w:b/>
          <w:color w:val="FF9900"/>
        </w:rPr>
      </w:pPr>
    </w:p>
    <w:p w:rsidR="005E7652" w:rsidRPr="008405DC" w:rsidRDefault="00A42866" w:rsidP="00D61554">
      <w:pPr>
        <w:outlineLvl w:val="0"/>
        <w:rPr>
          <w:b/>
          <w:color w:val="FF9900"/>
        </w:rPr>
      </w:pPr>
      <w:r w:rsidRPr="008405DC">
        <w:rPr>
          <w:b/>
          <w:noProof/>
          <w:color w:val="FF99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3886200" cy="0"/>
                <wp:effectExtent l="19050" t="22225" r="19050" b="254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DBF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" strokecolor="#f90" strokeweight="3pt"/>
            </w:pict>
          </mc:Fallback>
        </mc:AlternateContent>
      </w:r>
      <w:r w:rsidR="00996E72" w:rsidRPr="008405DC">
        <w:rPr>
          <w:b/>
          <w:color w:val="FF9900"/>
        </w:rPr>
        <w:t xml:space="preserve">JOB </w:t>
      </w:r>
      <w:r w:rsidR="002B4396" w:rsidRPr="008405DC">
        <w:rPr>
          <w:b/>
          <w:color w:val="FF9900"/>
        </w:rPr>
        <w:t>DESCRIPTION</w:t>
      </w:r>
    </w:p>
    <w:p w:rsidR="00996E72" w:rsidRPr="008405DC" w:rsidRDefault="00996E72">
      <w:pPr>
        <w:rPr>
          <w:b/>
          <w:color w:val="FF9900"/>
        </w:rPr>
      </w:pPr>
    </w:p>
    <w:p w:rsidR="00996E72" w:rsidRPr="008405DC" w:rsidRDefault="00996E72">
      <w:pPr>
        <w:rPr>
          <w:b/>
        </w:rPr>
      </w:pPr>
    </w:p>
    <w:tbl>
      <w:tblPr>
        <w:tblW w:w="0" w:type="auto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8"/>
        <w:gridCol w:w="3792"/>
        <w:gridCol w:w="4770"/>
      </w:tblGrid>
      <w:tr w:rsidR="00181BEF" w:rsidRPr="00A42866" w:rsidTr="00E73213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:rsidR="00181BEF" w:rsidRPr="00A42866" w:rsidRDefault="00181BEF" w:rsidP="001544A3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Official Job Title:</w:t>
            </w:r>
          </w:p>
        </w:tc>
        <w:tc>
          <w:tcPr>
            <w:tcW w:w="8502" w:type="dxa"/>
            <w:gridSpan w:val="2"/>
            <w:vAlign w:val="center"/>
          </w:tcPr>
          <w:p w:rsidR="004273F4" w:rsidRPr="00A42866" w:rsidRDefault="006C41DA" w:rsidP="00702533">
            <w:pPr>
              <w:rPr>
                <w:b/>
                <w:bCs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Programme Associate</w:t>
            </w:r>
            <w:r w:rsidR="00A42866">
              <w:rPr>
                <w:b/>
                <w:sz w:val="22"/>
                <w:szCs w:val="22"/>
              </w:rPr>
              <w:t xml:space="preserve"> (2)</w:t>
            </w:r>
          </w:p>
          <w:p w:rsidR="00181BEF" w:rsidRPr="00A42866" w:rsidRDefault="00181BEF" w:rsidP="00D3493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 xml:space="preserve">Duty Station:  </w:t>
            </w:r>
            <w:r w:rsidR="00D34934" w:rsidRPr="00A42866">
              <w:rPr>
                <w:b/>
                <w:sz w:val="22"/>
                <w:szCs w:val="22"/>
              </w:rPr>
              <w:t>Lusaka</w:t>
            </w:r>
          </w:p>
        </w:tc>
      </w:tr>
      <w:tr w:rsidR="00181BEF" w:rsidRPr="00A42866" w:rsidTr="00E73213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:rsidR="00181BEF" w:rsidRPr="00A42866" w:rsidRDefault="00181BEF" w:rsidP="005D370F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Grade (Classified)</w:t>
            </w:r>
          </w:p>
        </w:tc>
        <w:tc>
          <w:tcPr>
            <w:tcW w:w="8502" w:type="dxa"/>
            <w:gridSpan w:val="2"/>
            <w:vAlign w:val="center"/>
          </w:tcPr>
          <w:p w:rsidR="00181BEF" w:rsidRPr="00A42866" w:rsidRDefault="00AD41AE" w:rsidP="00AD41AE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SB3</w:t>
            </w:r>
            <w:r w:rsidR="00181BEF" w:rsidRPr="00A42866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181BEF" w:rsidRPr="00A42866" w:rsidTr="00E73213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:rsidR="00181BEF" w:rsidRPr="00A42866" w:rsidRDefault="00181BEF" w:rsidP="001544A3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Post Number:</w:t>
            </w:r>
          </w:p>
        </w:tc>
        <w:tc>
          <w:tcPr>
            <w:tcW w:w="8502" w:type="dxa"/>
            <w:gridSpan w:val="2"/>
            <w:vAlign w:val="center"/>
          </w:tcPr>
          <w:p w:rsidR="00181BEF" w:rsidRPr="00A42866" w:rsidRDefault="00B8541C" w:rsidP="001544A3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NOT APPLICABLE</w:t>
            </w:r>
          </w:p>
        </w:tc>
      </w:tr>
      <w:tr w:rsidR="00181BEF" w:rsidRPr="00A42866" w:rsidTr="00E73213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:rsidR="00181BEF" w:rsidRPr="00A42866" w:rsidRDefault="00181BEF" w:rsidP="001544A3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Post Type:</w:t>
            </w:r>
          </w:p>
        </w:tc>
        <w:tc>
          <w:tcPr>
            <w:tcW w:w="8502" w:type="dxa"/>
            <w:gridSpan w:val="2"/>
            <w:vAlign w:val="center"/>
          </w:tcPr>
          <w:p w:rsidR="00181BEF" w:rsidRPr="00A42866" w:rsidRDefault="004F488D" w:rsidP="0054703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81BEF" w:rsidRPr="00A42866">
              <w:rPr>
                <w:b/>
                <w:sz w:val="22"/>
                <w:szCs w:val="22"/>
              </w:rPr>
              <w:instrText xml:space="preserve"> FORMCHECKBOX </w:instrText>
            </w:r>
            <w:r w:rsidRPr="00A42866">
              <w:rPr>
                <w:b/>
                <w:sz w:val="22"/>
                <w:szCs w:val="22"/>
              </w:rPr>
            </w:r>
            <w:r w:rsidRPr="00A42866">
              <w:rPr>
                <w:b/>
                <w:sz w:val="22"/>
                <w:szCs w:val="22"/>
              </w:rPr>
              <w:fldChar w:fldCharType="end"/>
            </w:r>
            <w:bookmarkEnd w:id="0"/>
            <w:r w:rsidR="00181BEF" w:rsidRPr="00A42866">
              <w:rPr>
                <w:b/>
                <w:sz w:val="22"/>
                <w:szCs w:val="22"/>
              </w:rPr>
              <w:t xml:space="preserve">   Rotational     </w:t>
            </w:r>
            <w:bookmarkStart w:id="1" w:name="Check2"/>
            <w:r w:rsidR="00547034" w:rsidRPr="00A42866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7034" w:rsidRPr="00A42866">
              <w:rPr>
                <w:b/>
                <w:sz w:val="22"/>
                <w:szCs w:val="22"/>
              </w:rPr>
              <w:instrText xml:space="preserve"> FORMCHECKBOX </w:instrText>
            </w:r>
            <w:r w:rsidR="00547034" w:rsidRPr="00A42866">
              <w:rPr>
                <w:b/>
                <w:sz w:val="22"/>
                <w:szCs w:val="22"/>
              </w:rPr>
            </w:r>
            <w:r w:rsidR="00547034" w:rsidRPr="00A42866">
              <w:rPr>
                <w:b/>
                <w:sz w:val="22"/>
                <w:szCs w:val="22"/>
              </w:rPr>
              <w:fldChar w:fldCharType="end"/>
            </w:r>
            <w:bookmarkEnd w:id="1"/>
            <w:r w:rsidR="00181BEF" w:rsidRPr="00A42866">
              <w:rPr>
                <w:b/>
                <w:sz w:val="22"/>
                <w:szCs w:val="22"/>
              </w:rPr>
              <w:t xml:space="preserve">      Non-Rotational</w:t>
            </w:r>
          </w:p>
        </w:tc>
      </w:tr>
      <w:tr w:rsidR="00181BEF" w:rsidRPr="00A42866" w:rsidTr="00E73213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:rsidR="00181BEF" w:rsidRPr="00A42866" w:rsidRDefault="00181BEF" w:rsidP="00F17781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Classification Authority:</w:t>
            </w:r>
          </w:p>
        </w:tc>
        <w:tc>
          <w:tcPr>
            <w:tcW w:w="3752" w:type="dxa"/>
            <w:vAlign w:val="center"/>
          </w:tcPr>
          <w:p w:rsidR="00181BEF" w:rsidRPr="00A42866" w:rsidRDefault="004F4D82" w:rsidP="00F17781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Division of Human Resources</w:t>
            </w:r>
            <w:r w:rsidR="001F2648" w:rsidRPr="00A42866">
              <w:rPr>
                <w:b/>
                <w:sz w:val="22"/>
                <w:szCs w:val="22"/>
              </w:rPr>
              <w:t xml:space="preserve"> (</w:t>
            </w:r>
            <w:r w:rsidRPr="00A42866">
              <w:rPr>
                <w:b/>
                <w:sz w:val="22"/>
                <w:szCs w:val="22"/>
              </w:rPr>
              <w:t>DHR)</w:t>
            </w:r>
          </w:p>
        </w:tc>
        <w:tc>
          <w:tcPr>
            <w:tcW w:w="4710" w:type="dxa"/>
            <w:vAlign w:val="center"/>
          </w:tcPr>
          <w:p w:rsidR="00181BEF" w:rsidRPr="00A42866" w:rsidRDefault="00181BEF" w:rsidP="00AD41AE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96E72" w:rsidRPr="00A42866" w:rsidRDefault="00996E72">
      <w:pPr>
        <w:rPr>
          <w:b/>
          <w:sz w:val="22"/>
          <w:szCs w:val="22"/>
        </w:rPr>
      </w:pPr>
    </w:p>
    <w:p w:rsidR="00996E72" w:rsidRPr="00A42866" w:rsidRDefault="00046652" w:rsidP="00D61554">
      <w:pPr>
        <w:outlineLvl w:val="0"/>
        <w:rPr>
          <w:b/>
          <w:sz w:val="22"/>
          <w:szCs w:val="22"/>
        </w:rPr>
      </w:pPr>
      <w:r w:rsidRPr="00A42866">
        <w:rPr>
          <w:b/>
          <w:sz w:val="22"/>
          <w:szCs w:val="22"/>
        </w:rPr>
        <w:t>1.</w:t>
      </w:r>
      <w:r w:rsidRPr="00A42866">
        <w:rPr>
          <w:b/>
          <w:sz w:val="22"/>
          <w:szCs w:val="22"/>
        </w:rPr>
        <w:tab/>
      </w:r>
      <w:r w:rsidR="006E55CD" w:rsidRPr="00A42866">
        <w:rPr>
          <w:b/>
          <w:sz w:val="22"/>
          <w:szCs w:val="22"/>
          <w:u w:val="single"/>
        </w:rPr>
        <w:t>Organizational Location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E55CD" w:rsidRPr="00A42866" w:rsidTr="00E73213">
        <w:tc>
          <w:tcPr>
            <w:tcW w:w="10620" w:type="dxa"/>
          </w:tcPr>
          <w:p w:rsidR="00F609B9" w:rsidRPr="00A42866" w:rsidRDefault="00AD41AE" w:rsidP="001356C8">
            <w:pPr>
              <w:jc w:val="both"/>
              <w:rPr>
                <w:b/>
                <w:sz w:val="22"/>
                <w:szCs w:val="22"/>
              </w:rPr>
            </w:pPr>
            <w:r w:rsidRPr="00A42866">
              <w:rPr>
                <w:sz w:val="22"/>
                <w:szCs w:val="22"/>
                <w:lang w:val="en-GB"/>
              </w:rPr>
              <w:t xml:space="preserve">Under the </w:t>
            </w:r>
            <w:r w:rsidR="001D2D3C" w:rsidRPr="00A42866">
              <w:rPr>
                <w:bCs/>
                <w:sz w:val="22"/>
                <w:szCs w:val="22"/>
              </w:rPr>
              <w:t>Under the</w:t>
            </w:r>
            <w:r w:rsidR="001D2D3C" w:rsidRPr="00A42866">
              <w:rPr>
                <w:sz w:val="22"/>
                <w:szCs w:val="22"/>
              </w:rPr>
              <w:t xml:space="preserve"> overall guidance of the Representative and Deputy Representative, with direct supervision of the </w:t>
            </w:r>
            <w:r w:rsidR="001356C8" w:rsidRPr="00A42866">
              <w:rPr>
                <w:sz w:val="22"/>
                <w:szCs w:val="22"/>
              </w:rPr>
              <w:t xml:space="preserve">National </w:t>
            </w:r>
            <w:r w:rsidR="001D2D3C" w:rsidRPr="00A42866">
              <w:rPr>
                <w:sz w:val="22"/>
                <w:szCs w:val="22"/>
              </w:rPr>
              <w:t xml:space="preserve">Programme Coordinator and collaboration with the </w:t>
            </w:r>
            <w:r w:rsidR="001356C8" w:rsidRPr="00A42866">
              <w:rPr>
                <w:sz w:val="22"/>
                <w:szCs w:val="22"/>
              </w:rPr>
              <w:t>National Programme Specialist Reproductive Health</w:t>
            </w:r>
            <w:r w:rsidR="001D2D3C" w:rsidRPr="00A42866">
              <w:rPr>
                <w:sz w:val="22"/>
                <w:szCs w:val="22"/>
              </w:rPr>
              <w:t>, the</w:t>
            </w:r>
            <w:r w:rsidR="001D2D3C" w:rsidRPr="00A42866">
              <w:rPr>
                <w:sz w:val="22"/>
                <w:szCs w:val="22"/>
                <w:lang w:val="en-GB"/>
              </w:rPr>
              <w:t xml:space="preserve"> </w:t>
            </w:r>
            <w:r w:rsidRPr="00A42866">
              <w:rPr>
                <w:sz w:val="22"/>
                <w:szCs w:val="22"/>
                <w:lang w:val="en-GB"/>
              </w:rPr>
              <w:t xml:space="preserve"> Program Associate provides assistance in the implementation, monitoring and evaluation of the GRZ/DfiD/UN Joint Programme on Health Systems Strengthening in Reproductive Maternal Newborn Child Adolescent Health &amp; Nutrition (RMNCAH&amp;N) for Central and Western province.  </w:t>
            </w:r>
          </w:p>
        </w:tc>
      </w:tr>
    </w:tbl>
    <w:p w:rsidR="00046652" w:rsidRPr="00A42866" w:rsidRDefault="00046652">
      <w:pPr>
        <w:rPr>
          <w:b/>
          <w:sz w:val="22"/>
          <w:szCs w:val="22"/>
        </w:rPr>
      </w:pPr>
    </w:p>
    <w:p w:rsidR="00046652" w:rsidRPr="00A42866" w:rsidRDefault="00046652" w:rsidP="00D61554">
      <w:pPr>
        <w:outlineLvl w:val="0"/>
        <w:rPr>
          <w:b/>
          <w:sz w:val="22"/>
          <w:szCs w:val="22"/>
          <w:u w:val="single"/>
        </w:rPr>
      </w:pPr>
      <w:r w:rsidRPr="00A42866">
        <w:rPr>
          <w:b/>
          <w:sz w:val="22"/>
          <w:szCs w:val="22"/>
        </w:rPr>
        <w:t>2.</w:t>
      </w:r>
      <w:r w:rsidRPr="00A42866">
        <w:rPr>
          <w:b/>
          <w:sz w:val="22"/>
          <w:szCs w:val="22"/>
        </w:rPr>
        <w:tab/>
      </w:r>
      <w:r w:rsidRPr="00A42866">
        <w:rPr>
          <w:b/>
          <w:sz w:val="22"/>
          <w:szCs w:val="22"/>
          <w:u w:val="single"/>
        </w:rPr>
        <w:t>Job Purpose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46652" w:rsidRPr="00A42866" w:rsidTr="00E73213">
        <w:tc>
          <w:tcPr>
            <w:tcW w:w="10620" w:type="dxa"/>
          </w:tcPr>
          <w:p w:rsidR="006147CE" w:rsidRPr="00A42866" w:rsidRDefault="00F02FB4" w:rsidP="00305B25">
            <w:pPr>
              <w:jc w:val="both"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 xml:space="preserve"> </w:t>
            </w:r>
            <w:r w:rsidR="006C41DA" w:rsidRPr="00A42866">
              <w:rPr>
                <w:sz w:val="22"/>
                <w:szCs w:val="22"/>
              </w:rPr>
              <w:t xml:space="preserve">The Programme Associate is responsible for efficiently managing the operations of the sub-offices and constantly monitoring implementation of activities by the Provincial Medical Offices of </w:t>
            </w:r>
            <w:r w:rsidR="006C41DA" w:rsidRPr="00A42866">
              <w:rPr>
                <w:color w:val="000000"/>
                <w:sz w:val="22"/>
                <w:szCs w:val="22"/>
              </w:rPr>
              <w:t>the GRZ/DFID/UN Joint Programme on Health Systems Strengthening for RMNCAH&amp;N</w:t>
            </w:r>
            <w:r w:rsidR="006C41DA" w:rsidRPr="00A42866">
              <w:rPr>
                <w:sz w:val="22"/>
                <w:szCs w:val="22"/>
              </w:rPr>
              <w:t xml:space="preserve">.  S/he will provide financial and technical guidance </w:t>
            </w:r>
            <w:r w:rsidR="00305B25" w:rsidRPr="00A42866">
              <w:rPr>
                <w:sz w:val="22"/>
                <w:szCs w:val="22"/>
              </w:rPr>
              <w:t>and support to staff to ensure that rules and regulations are adhered to during programme implementation.</w:t>
            </w:r>
            <w:r w:rsidR="006C41DA" w:rsidRPr="00A42866">
              <w:rPr>
                <w:sz w:val="22"/>
                <w:szCs w:val="22"/>
              </w:rPr>
              <w:t xml:space="preserve">  </w:t>
            </w:r>
          </w:p>
        </w:tc>
      </w:tr>
    </w:tbl>
    <w:p w:rsidR="00046652" w:rsidRPr="00A42866" w:rsidRDefault="00046652">
      <w:pPr>
        <w:rPr>
          <w:b/>
          <w:sz w:val="22"/>
          <w:szCs w:val="22"/>
        </w:rPr>
      </w:pPr>
    </w:p>
    <w:p w:rsidR="002A31CE" w:rsidRPr="00A42866" w:rsidRDefault="002A31CE" w:rsidP="00A25201">
      <w:pPr>
        <w:outlineLvl w:val="0"/>
        <w:rPr>
          <w:b/>
          <w:sz w:val="22"/>
          <w:szCs w:val="22"/>
        </w:rPr>
      </w:pPr>
      <w:r w:rsidRPr="00A42866">
        <w:rPr>
          <w:b/>
          <w:sz w:val="22"/>
          <w:szCs w:val="22"/>
        </w:rPr>
        <w:t>3.</w:t>
      </w:r>
      <w:r w:rsidRPr="00A42866">
        <w:rPr>
          <w:b/>
          <w:sz w:val="22"/>
          <w:szCs w:val="22"/>
        </w:rPr>
        <w:tab/>
      </w:r>
      <w:r w:rsidRPr="00A42866">
        <w:rPr>
          <w:b/>
          <w:sz w:val="22"/>
          <w:szCs w:val="22"/>
          <w:u w:val="single"/>
        </w:rPr>
        <w:t>Major Activities/Expected Results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A31CE" w:rsidRPr="00A42866" w:rsidTr="00E73213">
        <w:tc>
          <w:tcPr>
            <w:tcW w:w="10620" w:type="dxa"/>
          </w:tcPr>
          <w:p w:rsidR="00AD41AE" w:rsidRPr="00A42866" w:rsidRDefault="00AD41AE" w:rsidP="00AD41AE">
            <w:pPr>
              <w:jc w:val="both"/>
              <w:rPr>
                <w:b/>
                <w:sz w:val="22"/>
                <w:szCs w:val="22"/>
                <w:u w:val="single"/>
                <w:lang w:val="en-GB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</w:rPr>
              <w:t xml:space="preserve">Assists in the monitoring of the implementation of </w:t>
            </w:r>
            <w:r w:rsidR="001D2D3C" w:rsidRPr="00A42866">
              <w:rPr>
                <w:b w:val="0"/>
                <w:sz w:val="22"/>
                <w:szCs w:val="22"/>
              </w:rPr>
              <w:t>GRZ/DfiD/UN Joint Programme program</w:t>
            </w:r>
            <w:r w:rsidR="001D2D3C" w:rsidRPr="00A42866">
              <w:rPr>
                <w:sz w:val="22"/>
                <w:szCs w:val="22"/>
              </w:rPr>
              <w:t xml:space="preserve"> </w:t>
            </w:r>
            <w:r w:rsidRPr="00A42866">
              <w:rPr>
                <w:b w:val="0"/>
                <w:sz w:val="22"/>
                <w:szCs w:val="22"/>
              </w:rPr>
              <w:t>supported projects and activities related to SRH/Maternal mortality reduction programme, providing periodic assessment of progress toward achieving of results</w:t>
            </w:r>
          </w:p>
          <w:p w:rsidR="00AD41AE" w:rsidRPr="00A42866" w:rsidRDefault="00AD41AE" w:rsidP="00AD41AE">
            <w:pPr>
              <w:pStyle w:val="BodyText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</w:rPr>
              <w:t xml:space="preserve">Collaborates with Programme Officers and Managers in preparing briefs on the evolving knowledge and experience from </w:t>
            </w:r>
            <w:r w:rsidR="001D2D3C" w:rsidRPr="00A42866">
              <w:rPr>
                <w:b w:val="0"/>
                <w:sz w:val="22"/>
                <w:szCs w:val="22"/>
              </w:rPr>
              <w:t>GRZ/DfiD/UN Joint Programme program</w:t>
            </w:r>
            <w:r w:rsidR="001D2D3C" w:rsidRPr="00A42866">
              <w:rPr>
                <w:sz w:val="22"/>
                <w:szCs w:val="22"/>
              </w:rPr>
              <w:t xml:space="preserve"> </w:t>
            </w:r>
            <w:r w:rsidRPr="00A42866">
              <w:rPr>
                <w:b w:val="0"/>
                <w:sz w:val="22"/>
                <w:szCs w:val="22"/>
              </w:rPr>
              <w:t>-supported activities in the Unit’s activities.</w:t>
            </w:r>
          </w:p>
          <w:p w:rsidR="00AD41AE" w:rsidRPr="00A42866" w:rsidRDefault="00AD41AE" w:rsidP="00AD41AE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Normaltable"/>
              <w:numPr>
                <w:ilvl w:val="0"/>
                <w:numId w:val="30"/>
              </w:numPr>
              <w:rPr>
                <w:sz w:val="22"/>
                <w:szCs w:val="22"/>
                <w:lang w:val="en-GB"/>
              </w:rPr>
            </w:pPr>
            <w:r w:rsidRPr="00A42866">
              <w:rPr>
                <w:sz w:val="22"/>
                <w:szCs w:val="22"/>
              </w:rPr>
              <w:t xml:space="preserve">Compiles basic data to </w:t>
            </w:r>
            <w:r w:rsidRPr="00A42866">
              <w:rPr>
                <w:sz w:val="22"/>
                <w:szCs w:val="22"/>
                <w:lang w:val="en-GB"/>
              </w:rPr>
              <w:t>assist in the preparation of periodic progress reports made on ongoing projects and in the reporting with bilateral donors</w:t>
            </w:r>
          </w:p>
          <w:p w:rsidR="00AD41AE" w:rsidRPr="00A42866" w:rsidRDefault="00AD41AE" w:rsidP="00AD41AE">
            <w:pPr>
              <w:pStyle w:val="Normaltable"/>
              <w:numPr>
                <w:ilvl w:val="0"/>
                <w:numId w:val="0"/>
              </w:numPr>
              <w:ind w:left="720"/>
              <w:rPr>
                <w:sz w:val="22"/>
                <w:szCs w:val="22"/>
                <w:lang w:val="en-GB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  <w:lang w:val="en-GB"/>
              </w:rPr>
              <w:t>A</w:t>
            </w:r>
            <w:r w:rsidRPr="00A42866">
              <w:rPr>
                <w:b w:val="0"/>
                <w:sz w:val="22"/>
                <w:szCs w:val="22"/>
              </w:rPr>
              <w:t xml:space="preserve">ssists with information on the development situation of the country in the thematic area or sector assigned and contributes to the preparation of the strategic documents of </w:t>
            </w:r>
            <w:r w:rsidR="001D2D3C" w:rsidRPr="00A42866">
              <w:rPr>
                <w:b w:val="0"/>
                <w:sz w:val="22"/>
                <w:szCs w:val="22"/>
              </w:rPr>
              <w:t>GRZ/DfiD/UN Joint Programme program</w:t>
            </w:r>
            <w:r w:rsidRPr="00A42866">
              <w:rPr>
                <w:b w:val="0"/>
                <w:sz w:val="22"/>
                <w:szCs w:val="22"/>
              </w:rPr>
              <w:t xml:space="preserve"> in that area, such as the project documents and project briefs </w:t>
            </w:r>
          </w:p>
          <w:p w:rsidR="00DD05A2" w:rsidRPr="00A42866" w:rsidRDefault="00DD05A2" w:rsidP="00DD05A2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05A2" w:rsidRPr="00A42866" w:rsidRDefault="00DD05A2" w:rsidP="00DD05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Acts as eFACE focal point for the Province, ensuring timely receipt of accurate FACE requests and reports and reviewing IP requests for advances and direct payments;</w:t>
            </w:r>
          </w:p>
          <w:p w:rsidR="00DD05A2" w:rsidRPr="00A42866" w:rsidRDefault="00DD05A2" w:rsidP="00DD05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Assist in following up on performance indicators, targets and milestones, and preparation of progress reports;</w:t>
            </w:r>
          </w:p>
          <w:p w:rsidR="00DD05A2" w:rsidRPr="00A42866" w:rsidRDefault="00DD05A2" w:rsidP="00DD05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lastRenderedPageBreak/>
              <w:t>Support the generation requisitions in ATLAS</w:t>
            </w:r>
          </w:p>
          <w:p w:rsidR="00DD05A2" w:rsidRPr="00A42866" w:rsidRDefault="00DD05A2" w:rsidP="00DD05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 xml:space="preserve">Monitor the expenditure ceiling of the country programme and prepare analytical reports on current and past expenditure trends; </w:t>
            </w:r>
          </w:p>
          <w:p w:rsidR="00DD05A2" w:rsidRPr="00A42866" w:rsidRDefault="00DD05A2" w:rsidP="00DD05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Monitor status of the Operating Fund Accounts of Implementing Partners;</w:t>
            </w:r>
          </w:p>
          <w:p w:rsidR="00AD41AE" w:rsidRPr="00A42866" w:rsidRDefault="00AD41AE" w:rsidP="00AD41AE">
            <w:pPr>
              <w:pStyle w:val="BodyText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</w:rPr>
              <w:t xml:space="preserve">Assists in the preparations of the Monitoring and Evaluation Plans for the projects under management and ensure their implementation in a timely manner.  Generally ensures that project implementation is in compliance with established procedures from inception to financial closure. </w:t>
            </w:r>
          </w:p>
          <w:p w:rsidR="00AD41AE" w:rsidRPr="00A42866" w:rsidRDefault="00AD41AE" w:rsidP="00AD41AE">
            <w:pPr>
              <w:pStyle w:val="BodyText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</w:rPr>
              <w:t xml:space="preserve">Reviews quarterly project work plans, reconciling the records of payments with activities; advises and proposes corrective actions, as necessary. </w:t>
            </w:r>
          </w:p>
          <w:p w:rsidR="00AD41AE" w:rsidRPr="00A42866" w:rsidRDefault="00AD41AE" w:rsidP="00AD41AE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41AE" w:rsidRPr="00A42866" w:rsidRDefault="00AD41AE" w:rsidP="00AD41AE">
            <w:pPr>
              <w:pStyle w:val="BodyText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  <w:lang w:val="en-GB"/>
              </w:rPr>
              <w:t xml:space="preserve">Assist in the periodic revisions of </w:t>
            </w:r>
            <w:r w:rsidR="001D2D3C" w:rsidRPr="00A42866">
              <w:rPr>
                <w:b w:val="0"/>
                <w:sz w:val="22"/>
                <w:szCs w:val="22"/>
              </w:rPr>
              <w:t>GRZ/DfiD/UN Joint Programme program</w:t>
            </w:r>
            <w:r w:rsidR="001D2D3C" w:rsidRPr="00A42866">
              <w:rPr>
                <w:sz w:val="22"/>
                <w:szCs w:val="22"/>
              </w:rPr>
              <w:t xml:space="preserve"> </w:t>
            </w:r>
            <w:r w:rsidRPr="00A42866">
              <w:rPr>
                <w:b w:val="0"/>
                <w:sz w:val="22"/>
                <w:szCs w:val="22"/>
                <w:lang w:val="en-GB"/>
              </w:rPr>
              <w:t xml:space="preserve">with the Government authorities, representatives of bilateral assistance agencies and regional organizations; </w:t>
            </w:r>
          </w:p>
          <w:p w:rsidR="00AD41AE" w:rsidRPr="00A42866" w:rsidRDefault="00AD41AE" w:rsidP="00AD41AE">
            <w:pPr>
              <w:pStyle w:val="BodyText"/>
              <w:ind w:left="720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  <w:lang w:val="en-GB"/>
              </w:rPr>
              <w:t xml:space="preserve">Collaborate with the administrative and Finance staff on preparation of meeting, events including trips, DSA, accommodation etc. </w:t>
            </w:r>
          </w:p>
          <w:p w:rsidR="00AD41AE" w:rsidRPr="00A42866" w:rsidRDefault="00AD41AE" w:rsidP="00C0568E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</w:p>
          <w:p w:rsidR="00AD41AE" w:rsidRPr="00A42866" w:rsidRDefault="00AD41AE" w:rsidP="00DD05A2">
            <w:pPr>
              <w:pStyle w:val="BodyText"/>
              <w:numPr>
                <w:ilvl w:val="0"/>
                <w:numId w:val="30"/>
              </w:numPr>
              <w:jc w:val="left"/>
              <w:rPr>
                <w:b w:val="0"/>
                <w:sz w:val="22"/>
                <w:szCs w:val="22"/>
              </w:rPr>
            </w:pPr>
            <w:r w:rsidRPr="00A42866">
              <w:rPr>
                <w:b w:val="0"/>
                <w:sz w:val="22"/>
                <w:szCs w:val="22"/>
              </w:rPr>
              <w:t xml:space="preserve">Undertakes any other tasks assigned </w:t>
            </w:r>
          </w:p>
          <w:p w:rsidR="00F31D7A" w:rsidRPr="00A42866" w:rsidRDefault="00F31D7A" w:rsidP="009F16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D41AE" w:rsidRPr="00A42866" w:rsidRDefault="002A31CE" w:rsidP="00AD41AE">
      <w:pPr>
        <w:outlineLvl w:val="0"/>
        <w:rPr>
          <w:b/>
          <w:sz w:val="22"/>
          <w:szCs w:val="22"/>
        </w:rPr>
      </w:pPr>
      <w:r w:rsidRPr="00A42866">
        <w:rPr>
          <w:b/>
          <w:sz w:val="22"/>
          <w:szCs w:val="22"/>
        </w:rPr>
        <w:lastRenderedPageBreak/>
        <w:tab/>
      </w:r>
    </w:p>
    <w:p w:rsidR="002A31CE" w:rsidRPr="00A42866" w:rsidRDefault="00AD41AE" w:rsidP="00AD41AE">
      <w:pPr>
        <w:outlineLvl w:val="0"/>
        <w:rPr>
          <w:b/>
          <w:sz w:val="22"/>
          <w:szCs w:val="22"/>
        </w:rPr>
      </w:pPr>
      <w:r w:rsidRPr="00A42866">
        <w:rPr>
          <w:b/>
          <w:sz w:val="22"/>
          <w:szCs w:val="22"/>
        </w:rPr>
        <w:t xml:space="preserve">4. </w:t>
      </w:r>
      <w:r w:rsidR="002A31CE" w:rsidRPr="00A42866">
        <w:rPr>
          <w:b/>
          <w:sz w:val="22"/>
          <w:szCs w:val="22"/>
          <w:u w:val="single"/>
        </w:rPr>
        <w:t>Job Requirements</w:t>
      </w:r>
    </w:p>
    <w:p w:rsidR="002A31CE" w:rsidRPr="00A42866" w:rsidRDefault="002A31CE" w:rsidP="002A31C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2A31CE" w:rsidRPr="00A42866" w:rsidTr="00E73213">
        <w:trPr>
          <w:trHeight w:val="2582"/>
        </w:trPr>
        <w:tc>
          <w:tcPr>
            <w:tcW w:w="10620" w:type="dxa"/>
          </w:tcPr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 xml:space="preserve">Education:  </w:t>
            </w:r>
          </w:p>
          <w:p w:rsidR="00F02FB4" w:rsidRPr="00A42866" w:rsidRDefault="006B3B57" w:rsidP="00A42866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 xml:space="preserve">Advanced </w:t>
            </w:r>
            <w:r w:rsidR="009E56B1" w:rsidRPr="00A42866">
              <w:rPr>
                <w:sz w:val="22"/>
                <w:szCs w:val="22"/>
              </w:rPr>
              <w:t>Degree</w:t>
            </w:r>
            <w:r w:rsidR="00F02FB4" w:rsidRPr="00A42866">
              <w:rPr>
                <w:sz w:val="22"/>
                <w:szCs w:val="22"/>
              </w:rPr>
              <w:t xml:space="preserve"> in</w:t>
            </w:r>
            <w:r w:rsidR="00AD41AE" w:rsidRPr="00A42866">
              <w:rPr>
                <w:sz w:val="22"/>
                <w:szCs w:val="22"/>
              </w:rPr>
              <w:t xml:space="preserve"> </w:t>
            </w:r>
            <w:r w:rsidR="001356C8" w:rsidRPr="00A42866">
              <w:rPr>
                <w:sz w:val="22"/>
                <w:szCs w:val="22"/>
              </w:rPr>
              <w:t xml:space="preserve">Population and Development, Health, Gender, </w:t>
            </w:r>
            <w:r w:rsidR="00AD41AE" w:rsidRPr="00A42866">
              <w:rPr>
                <w:sz w:val="22"/>
                <w:szCs w:val="22"/>
              </w:rPr>
              <w:t xml:space="preserve">Demography, Administration </w:t>
            </w:r>
            <w:r w:rsidR="00377CEC" w:rsidRPr="00A42866">
              <w:rPr>
                <w:sz w:val="22"/>
                <w:szCs w:val="22"/>
              </w:rPr>
              <w:t>or related field</w:t>
            </w:r>
            <w:r w:rsidR="001356C8" w:rsidRPr="00A42866">
              <w:rPr>
                <w:sz w:val="22"/>
                <w:szCs w:val="22"/>
              </w:rPr>
              <w:t>s</w:t>
            </w:r>
            <w:r w:rsidR="00377CEC" w:rsidRPr="00A42866">
              <w:rPr>
                <w:sz w:val="22"/>
                <w:szCs w:val="22"/>
              </w:rPr>
              <w:t xml:space="preserve">.  </w:t>
            </w: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 xml:space="preserve">Knowledge and Experience: </w:t>
            </w:r>
          </w:p>
          <w:p w:rsidR="00F02FB4" w:rsidRPr="00A42866" w:rsidRDefault="002D7441" w:rsidP="00F02FB4">
            <w:p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M</w:t>
            </w:r>
            <w:r w:rsidR="00F02FB4" w:rsidRPr="00A42866">
              <w:rPr>
                <w:sz w:val="22"/>
                <w:szCs w:val="22"/>
              </w:rPr>
              <w:t>inimum of</w:t>
            </w:r>
            <w:r w:rsidR="001356C8" w:rsidRPr="00A42866">
              <w:rPr>
                <w:sz w:val="22"/>
                <w:szCs w:val="22"/>
              </w:rPr>
              <w:t xml:space="preserve"> </w:t>
            </w:r>
            <w:r w:rsidR="009C37AC" w:rsidRPr="00A42866">
              <w:rPr>
                <w:sz w:val="22"/>
                <w:szCs w:val="22"/>
              </w:rPr>
              <w:t>1</w:t>
            </w:r>
            <w:r w:rsidR="00DD05A2" w:rsidRPr="00A42866">
              <w:rPr>
                <w:sz w:val="22"/>
                <w:szCs w:val="22"/>
              </w:rPr>
              <w:t xml:space="preserve"> ye</w:t>
            </w:r>
            <w:bookmarkStart w:id="2" w:name="_GoBack"/>
            <w:bookmarkEnd w:id="2"/>
            <w:r w:rsidR="00DD05A2" w:rsidRPr="00A42866">
              <w:rPr>
                <w:sz w:val="22"/>
                <w:szCs w:val="22"/>
              </w:rPr>
              <w:t>ar</w:t>
            </w:r>
            <w:r w:rsidR="00F02FB4" w:rsidRPr="00A42866">
              <w:rPr>
                <w:sz w:val="22"/>
                <w:szCs w:val="22"/>
              </w:rPr>
              <w:t xml:space="preserve"> professional experience in the field of development and population activities, with experience in programme management.</w:t>
            </w:r>
            <w:r w:rsidR="00377CEC" w:rsidRPr="00A42866">
              <w:rPr>
                <w:sz w:val="22"/>
                <w:szCs w:val="22"/>
              </w:rPr>
              <w:t xml:space="preserve"> </w:t>
            </w:r>
          </w:p>
          <w:p w:rsidR="00A40847" w:rsidRPr="00A42866" w:rsidRDefault="00A40847" w:rsidP="00F02FB4">
            <w:pPr>
              <w:rPr>
                <w:b/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Values:</w:t>
            </w:r>
          </w:p>
          <w:p w:rsidR="00F02FB4" w:rsidRPr="00A42866" w:rsidRDefault="00F02FB4" w:rsidP="00A4286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Exemplifying integrity</w:t>
            </w:r>
          </w:p>
          <w:p w:rsidR="00F02FB4" w:rsidRPr="00A42866" w:rsidRDefault="00F02FB4" w:rsidP="00A4286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Demonstrating commitment to UNFPA and the UN system</w:t>
            </w:r>
          </w:p>
          <w:p w:rsidR="00F02FB4" w:rsidRPr="00A42866" w:rsidRDefault="00F02FB4" w:rsidP="00A4286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Embracing cultural diversity</w:t>
            </w:r>
          </w:p>
          <w:p w:rsidR="00F02FB4" w:rsidRPr="00A42866" w:rsidRDefault="00F02FB4" w:rsidP="00A4286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Embracing change</w:t>
            </w:r>
          </w:p>
          <w:p w:rsidR="00F02FB4" w:rsidRPr="00A42866" w:rsidRDefault="00F02FB4" w:rsidP="00A4286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8" w:lineRule="atLeast"/>
              <w:jc w:val="both"/>
              <w:rPr>
                <w:bCs/>
                <w:sz w:val="22"/>
                <w:szCs w:val="22"/>
              </w:rPr>
            </w:pPr>
            <w:r w:rsidRPr="00A42866">
              <w:rPr>
                <w:bCs/>
                <w:sz w:val="22"/>
                <w:szCs w:val="22"/>
              </w:rPr>
              <w:t>Knowledge sharing/Continuous learning</w:t>
            </w:r>
          </w:p>
          <w:p w:rsidR="00F02FB4" w:rsidRPr="00A42866" w:rsidRDefault="00F02FB4" w:rsidP="00F02FB4">
            <w:pPr>
              <w:rPr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Core Competencies: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Achieving results/</w:t>
            </w:r>
            <w:r w:rsidRPr="00A42866">
              <w:rPr>
                <w:b/>
                <w:bCs/>
                <w:sz w:val="22"/>
                <w:szCs w:val="22"/>
              </w:rPr>
              <w:t xml:space="preserve"> </w:t>
            </w:r>
            <w:r w:rsidRPr="00A42866">
              <w:rPr>
                <w:bCs/>
                <w:sz w:val="22"/>
                <w:szCs w:val="22"/>
              </w:rPr>
              <w:t>Results orientation/Commitment to excellence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Being accountable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Developing and applying professional expertise/ business acumen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Thinking analytically and strategically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Workings in teams/ managing ourselves and our relationships</w:t>
            </w:r>
          </w:p>
          <w:p w:rsidR="00F02FB4" w:rsidRPr="00A42866" w:rsidRDefault="00F02FB4" w:rsidP="00A42866">
            <w:pPr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Communicating for impact</w:t>
            </w:r>
          </w:p>
          <w:p w:rsidR="00F02FB4" w:rsidRDefault="00F02FB4" w:rsidP="00F02FB4">
            <w:pPr>
              <w:rPr>
                <w:b/>
                <w:sz w:val="22"/>
                <w:szCs w:val="22"/>
              </w:rPr>
            </w:pPr>
          </w:p>
          <w:p w:rsidR="00A42866" w:rsidRDefault="00A42866" w:rsidP="00F02FB4">
            <w:pPr>
              <w:rPr>
                <w:b/>
                <w:sz w:val="22"/>
                <w:szCs w:val="22"/>
              </w:rPr>
            </w:pPr>
          </w:p>
          <w:p w:rsidR="00A42866" w:rsidRDefault="00A42866" w:rsidP="00F02FB4">
            <w:pPr>
              <w:rPr>
                <w:b/>
                <w:sz w:val="22"/>
                <w:szCs w:val="22"/>
              </w:rPr>
            </w:pPr>
          </w:p>
          <w:p w:rsidR="00A42866" w:rsidRPr="00A42866" w:rsidRDefault="00A42866" w:rsidP="00F02FB4">
            <w:pPr>
              <w:rPr>
                <w:b/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Managerial Competencies:</w:t>
            </w:r>
          </w:p>
          <w:p w:rsidR="00F02FB4" w:rsidRPr="00A42866" w:rsidRDefault="00F02FB4" w:rsidP="00A4286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Providing strategic focus</w:t>
            </w:r>
          </w:p>
          <w:p w:rsidR="00F02FB4" w:rsidRPr="00A42866" w:rsidRDefault="00F02FB4" w:rsidP="00A4286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Engaging internal/ external partners and stakeholders</w:t>
            </w:r>
          </w:p>
          <w:p w:rsidR="00F02FB4" w:rsidRPr="00A42866" w:rsidRDefault="00F02FB4" w:rsidP="00A4286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Leading, developing and empowering people/ creating a culture of performance</w:t>
            </w:r>
          </w:p>
          <w:p w:rsidR="00F02FB4" w:rsidRPr="00A42866" w:rsidRDefault="00F02FB4" w:rsidP="00A4286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Making decisions and exercising judgment/</w:t>
            </w:r>
            <w:r w:rsidRPr="00A42866">
              <w:rPr>
                <w:sz w:val="22"/>
                <w:szCs w:val="22"/>
              </w:rPr>
              <w:softHyphen/>
            </w:r>
            <w:r w:rsidRPr="00A42866">
              <w:rPr>
                <w:bCs/>
                <w:sz w:val="22"/>
                <w:szCs w:val="22"/>
              </w:rPr>
              <w:t>Appropriate and transparent decision-making</w:t>
            </w:r>
          </w:p>
          <w:p w:rsidR="00F02FB4" w:rsidRPr="00A42866" w:rsidRDefault="00F02FB4" w:rsidP="00A4286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2866">
              <w:rPr>
                <w:bCs/>
                <w:sz w:val="22"/>
                <w:szCs w:val="22"/>
              </w:rPr>
              <w:t>Conflict and self-management</w:t>
            </w: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>Functional Skill Set:</w:t>
            </w:r>
          </w:p>
          <w:p w:rsidR="00F02FB4" w:rsidRPr="00A42866" w:rsidRDefault="00F02FB4" w:rsidP="00A4286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Advocacy/ Advancing a policy-oriented agenda</w:t>
            </w:r>
          </w:p>
          <w:p w:rsidR="00F02FB4" w:rsidRPr="00A42866" w:rsidRDefault="00F02FB4" w:rsidP="00A4286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Leveraging the resources of national governments and partners/ building strategic alliances and partnerships</w:t>
            </w:r>
          </w:p>
          <w:p w:rsidR="00F02FB4" w:rsidRPr="00A42866" w:rsidRDefault="00F02FB4" w:rsidP="00A4286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Delivering results-based programme</w:t>
            </w:r>
          </w:p>
          <w:p w:rsidR="00F02FB4" w:rsidRPr="00A42866" w:rsidRDefault="00F02FB4" w:rsidP="00A4286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Internal and external communication and advocacy for results mobilization</w:t>
            </w: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  <w:r w:rsidRPr="00A42866">
              <w:rPr>
                <w:b/>
                <w:sz w:val="22"/>
                <w:szCs w:val="22"/>
              </w:rPr>
              <w:t xml:space="preserve">Languages: </w:t>
            </w:r>
          </w:p>
          <w:p w:rsidR="00F02FB4" w:rsidRPr="00A42866" w:rsidRDefault="00F02FB4" w:rsidP="00F02FB4">
            <w:pPr>
              <w:rPr>
                <w:b/>
                <w:sz w:val="22"/>
                <w:szCs w:val="22"/>
              </w:rPr>
            </w:pPr>
          </w:p>
          <w:p w:rsidR="004273F4" w:rsidRPr="00A42866" w:rsidRDefault="00F02FB4" w:rsidP="00A42866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A42866">
              <w:rPr>
                <w:sz w:val="22"/>
                <w:szCs w:val="22"/>
              </w:rPr>
              <w:t>Fluency in English is required.</w:t>
            </w:r>
          </w:p>
          <w:p w:rsidR="00BF090D" w:rsidRPr="00A42866" w:rsidRDefault="00BF090D" w:rsidP="00F02FB4">
            <w:pPr>
              <w:jc w:val="both"/>
              <w:rPr>
                <w:sz w:val="22"/>
                <w:szCs w:val="22"/>
              </w:rPr>
            </w:pPr>
          </w:p>
          <w:p w:rsidR="00BF090D" w:rsidRPr="00A42866" w:rsidRDefault="00BF090D" w:rsidP="00BF090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42866">
              <w:rPr>
                <w:rFonts w:eastAsia="Calibri"/>
                <w:b/>
                <w:sz w:val="22"/>
                <w:szCs w:val="22"/>
              </w:rPr>
              <w:t xml:space="preserve">Computer Skills: </w:t>
            </w:r>
          </w:p>
          <w:p w:rsidR="00BF090D" w:rsidRPr="00A42866" w:rsidRDefault="00BF090D" w:rsidP="00A42866">
            <w:pPr>
              <w:numPr>
                <w:ilvl w:val="0"/>
                <w:numId w:val="37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A42866">
              <w:rPr>
                <w:rFonts w:eastAsia="Calibri"/>
                <w:sz w:val="22"/>
                <w:szCs w:val="22"/>
              </w:rPr>
              <w:t>Proficiency in current office software applications.</w:t>
            </w:r>
          </w:p>
          <w:p w:rsidR="00BF090D" w:rsidRPr="00A42866" w:rsidRDefault="00BF090D" w:rsidP="00A42866">
            <w:pPr>
              <w:numPr>
                <w:ilvl w:val="0"/>
                <w:numId w:val="37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A42866">
              <w:rPr>
                <w:rFonts w:eastAsia="Calibri"/>
                <w:sz w:val="22"/>
                <w:szCs w:val="22"/>
              </w:rPr>
              <w:t>Proficiency in Atlas, PeopleSoft, and other computerized applications used by the UN.</w:t>
            </w:r>
          </w:p>
          <w:p w:rsidR="00286804" w:rsidRPr="00A42866" w:rsidRDefault="00286804" w:rsidP="002A31CE">
            <w:pPr>
              <w:rPr>
                <w:b/>
                <w:sz w:val="22"/>
                <w:szCs w:val="22"/>
              </w:rPr>
            </w:pPr>
          </w:p>
        </w:tc>
      </w:tr>
    </w:tbl>
    <w:p w:rsidR="002A31CE" w:rsidRPr="00A42866" w:rsidRDefault="002A31CE" w:rsidP="002A31CE">
      <w:pPr>
        <w:rPr>
          <w:b/>
          <w:sz w:val="22"/>
          <w:szCs w:val="22"/>
        </w:rPr>
      </w:pPr>
    </w:p>
    <w:p w:rsidR="00B90231" w:rsidRPr="00A42866" w:rsidRDefault="00B90231" w:rsidP="00B90231">
      <w:pPr>
        <w:rPr>
          <w:b/>
          <w:sz w:val="22"/>
          <w:szCs w:val="22"/>
        </w:rPr>
      </w:pPr>
    </w:p>
    <w:p w:rsidR="00B90231" w:rsidRPr="00A42866" w:rsidRDefault="00B90231" w:rsidP="00B90231">
      <w:pPr>
        <w:rPr>
          <w:b/>
          <w:sz w:val="22"/>
          <w:szCs w:val="22"/>
        </w:rPr>
      </w:pPr>
    </w:p>
    <w:p w:rsidR="00B90231" w:rsidRPr="00A42866" w:rsidRDefault="00B90231" w:rsidP="00B90231">
      <w:pPr>
        <w:rPr>
          <w:b/>
          <w:sz w:val="22"/>
          <w:szCs w:val="22"/>
        </w:rPr>
      </w:pPr>
    </w:p>
    <w:p w:rsidR="001D6F8F" w:rsidRPr="00A42866" w:rsidRDefault="001D6F8F" w:rsidP="00B90231">
      <w:pPr>
        <w:rPr>
          <w:b/>
          <w:sz w:val="22"/>
          <w:szCs w:val="22"/>
        </w:rPr>
      </w:pPr>
    </w:p>
    <w:p w:rsidR="001D6F8F" w:rsidRPr="00A42866" w:rsidRDefault="001D6F8F" w:rsidP="00B90231">
      <w:pPr>
        <w:rPr>
          <w:b/>
          <w:sz w:val="22"/>
          <w:szCs w:val="22"/>
        </w:rPr>
      </w:pPr>
    </w:p>
    <w:sectPr w:rsidR="001D6F8F" w:rsidRPr="00A42866" w:rsidSect="00E73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5F" w:rsidRDefault="00EE3E5F">
      <w:r>
        <w:separator/>
      </w:r>
    </w:p>
  </w:endnote>
  <w:endnote w:type="continuationSeparator" w:id="0">
    <w:p w:rsidR="00EE3E5F" w:rsidRDefault="00EE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1E" w:rsidRDefault="00A21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60" w:rsidRPr="00141C17" w:rsidRDefault="00E26560">
    <w:pPr>
      <w:pStyle w:val="Footer"/>
      <w:pBdr>
        <w:bottom w:val="single" w:sz="12" w:space="1" w:color="auto"/>
      </w:pBdr>
      <w:rPr>
        <w:rFonts w:ascii="Cambria" w:hAnsi="Cambria"/>
        <w:sz w:val="20"/>
        <w:szCs w:val="20"/>
      </w:rPr>
    </w:pPr>
  </w:p>
  <w:p w:rsidR="00E26560" w:rsidRPr="00141C17" w:rsidRDefault="00E14912">
    <w:pPr>
      <w:pStyle w:val="Footer"/>
      <w:rPr>
        <w:rFonts w:ascii="Cambria" w:hAnsi="Cambria" w:cs="Arial"/>
        <w:sz w:val="20"/>
        <w:szCs w:val="20"/>
      </w:rPr>
    </w:pPr>
    <w:r w:rsidRPr="00141C17">
      <w:rPr>
        <w:rFonts w:ascii="Cambria" w:hAnsi="Cambria" w:cs="Arial"/>
        <w:sz w:val="20"/>
        <w:szCs w:val="20"/>
      </w:rPr>
      <w:t xml:space="preserve">Job Description: </w:t>
    </w:r>
    <w:r w:rsidR="004273F4" w:rsidRPr="00141C17">
      <w:rPr>
        <w:rFonts w:ascii="Cambria" w:hAnsi="Cambria" w:cs="Arial"/>
        <w:sz w:val="20"/>
        <w:szCs w:val="20"/>
      </w:rPr>
      <w:t xml:space="preserve">Programme </w:t>
    </w:r>
    <w:r w:rsidR="009E56B1">
      <w:rPr>
        <w:rFonts w:ascii="Cambria" w:hAnsi="Cambria" w:cs="Arial"/>
        <w:sz w:val="20"/>
        <w:szCs w:val="20"/>
      </w:rPr>
      <w:t>Associate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1E" w:rsidRDefault="00A21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5F" w:rsidRDefault="00EE3E5F">
      <w:r>
        <w:separator/>
      </w:r>
    </w:p>
  </w:footnote>
  <w:footnote w:type="continuationSeparator" w:id="0">
    <w:p w:rsidR="00EE3E5F" w:rsidRDefault="00EE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1E" w:rsidRDefault="00A21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2469" o:spid="_x0000_s2050" type="#_x0000_t136" style="position:absolute;margin-left:0;margin-top:0;width:644.2pt;height:117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1E" w:rsidRDefault="00A21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2470" o:spid="_x0000_s2051" type="#_x0000_t136" style="position:absolute;margin-left:0;margin-top:0;width:661.55pt;height:117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1E" w:rsidRDefault="00A21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2468" o:spid="_x0000_s2049" type="#_x0000_t136" style="position:absolute;margin-left:0;margin-top:0;width:644.2pt;height:117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 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03A"/>
    <w:multiLevelType w:val="hybridMultilevel"/>
    <w:tmpl w:val="767A9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A38"/>
    <w:multiLevelType w:val="hybridMultilevel"/>
    <w:tmpl w:val="015EED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800A69"/>
    <w:multiLevelType w:val="hybridMultilevel"/>
    <w:tmpl w:val="300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574"/>
    <w:multiLevelType w:val="hybridMultilevel"/>
    <w:tmpl w:val="7FDA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AA6"/>
    <w:multiLevelType w:val="hybridMultilevel"/>
    <w:tmpl w:val="AA22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004A8"/>
    <w:multiLevelType w:val="hybridMultilevel"/>
    <w:tmpl w:val="45F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E88"/>
    <w:multiLevelType w:val="hybridMultilevel"/>
    <w:tmpl w:val="DD8E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7347"/>
    <w:multiLevelType w:val="hybridMultilevel"/>
    <w:tmpl w:val="7C3E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38B"/>
    <w:multiLevelType w:val="hybridMultilevel"/>
    <w:tmpl w:val="425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4B7F"/>
    <w:multiLevelType w:val="hybridMultilevel"/>
    <w:tmpl w:val="828EF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A5860"/>
    <w:multiLevelType w:val="hybridMultilevel"/>
    <w:tmpl w:val="8B162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7612D"/>
    <w:multiLevelType w:val="hybridMultilevel"/>
    <w:tmpl w:val="518CC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2082D"/>
    <w:multiLevelType w:val="hybridMultilevel"/>
    <w:tmpl w:val="AC5E3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615"/>
    <w:multiLevelType w:val="hybridMultilevel"/>
    <w:tmpl w:val="68E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5D4"/>
    <w:multiLevelType w:val="hybridMultilevel"/>
    <w:tmpl w:val="FA146346"/>
    <w:lvl w:ilvl="0" w:tplc="00AE52A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B09"/>
    <w:multiLevelType w:val="hybridMultilevel"/>
    <w:tmpl w:val="BEFC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089"/>
    <w:multiLevelType w:val="hybridMultilevel"/>
    <w:tmpl w:val="9914FA96"/>
    <w:lvl w:ilvl="0" w:tplc="FFFFFFFF">
      <w:start w:val="1"/>
      <w:numFmt w:val="bullet"/>
      <w:pStyle w:val="Normaltab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37105"/>
    <w:multiLevelType w:val="hybridMultilevel"/>
    <w:tmpl w:val="187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9E"/>
    <w:multiLevelType w:val="hybridMultilevel"/>
    <w:tmpl w:val="5E0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31DB"/>
    <w:multiLevelType w:val="hybridMultilevel"/>
    <w:tmpl w:val="ABA2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748CF"/>
    <w:multiLevelType w:val="hybridMultilevel"/>
    <w:tmpl w:val="D908BC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FED44E9"/>
    <w:multiLevelType w:val="hybridMultilevel"/>
    <w:tmpl w:val="9670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651"/>
    <w:multiLevelType w:val="hybridMultilevel"/>
    <w:tmpl w:val="B658D9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152281"/>
    <w:multiLevelType w:val="hybridMultilevel"/>
    <w:tmpl w:val="15189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1AD"/>
    <w:multiLevelType w:val="hybridMultilevel"/>
    <w:tmpl w:val="ADCAAF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66E52385"/>
    <w:multiLevelType w:val="hybridMultilevel"/>
    <w:tmpl w:val="AAEA81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B697922"/>
    <w:multiLevelType w:val="hybridMultilevel"/>
    <w:tmpl w:val="D0D4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3B68"/>
    <w:multiLevelType w:val="hybridMultilevel"/>
    <w:tmpl w:val="6C0099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621DB1"/>
    <w:multiLevelType w:val="hybridMultilevel"/>
    <w:tmpl w:val="922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50000"/>
    <w:multiLevelType w:val="hybridMultilevel"/>
    <w:tmpl w:val="79E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313BD"/>
    <w:multiLevelType w:val="hybridMultilevel"/>
    <w:tmpl w:val="FACE5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190AD5"/>
    <w:multiLevelType w:val="hybridMultilevel"/>
    <w:tmpl w:val="7F86BDE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DE802AE"/>
    <w:multiLevelType w:val="hybridMultilevel"/>
    <w:tmpl w:val="81285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35"/>
  </w:num>
  <w:num w:numId="7">
    <w:abstractNumId w:val="36"/>
  </w:num>
  <w:num w:numId="8">
    <w:abstractNumId w:val="21"/>
  </w:num>
  <w:num w:numId="9">
    <w:abstractNumId w:val="26"/>
  </w:num>
  <w:num w:numId="10">
    <w:abstractNumId w:val="31"/>
  </w:num>
  <w:num w:numId="11">
    <w:abstractNumId w:val="25"/>
  </w:num>
  <w:num w:numId="12">
    <w:abstractNumId w:val="24"/>
  </w:num>
  <w:num w:numId="13">
    <w:abstractNumId w:val="33"/>
  </w:num>
  <w:num w:numId="14">
    <w:abstractNumId w:val="0"/>
  </w:num>
  <w:num w:numId="15">
    <w:abstractNumId w:val="7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27"/>
  </w:num>
  <w:num w:numId="21">
    <w:abstractNumId w:val="1"/>
  </w:num>
  <w:num w:numId="22">
    <w:abstractNumId w:val="28"/>
  </w:num>
  <w:num w:numId="23">
    <w:abstractNumId w:val="18"/>
  </w:num>
  <w:num w:numId="24">
    <w:abstractNumId w:val="13"/>
  </w:num>
  <w:num w:numId="25">
    <w:abstractNumId w:val="34"/>
  </w:num>
  <w:num w:numId="26">
    <w:abstractNumId w:val="29"/>
  </w:num>
  <w:num w:numId="27">
    <w:abstractNumId w:val="23"/>
  </w:num>
  <w:num w:numId="28">
    <w:abstractNumId w:val="6"/>
  </w:num>
  <w:num w:numId="29">
    <w:abstractNumId w:val="20"/>
  </w:num>
  <w:num w:numId="30">
    <w:abstractNumId w:val="4"/>
  </w:num>
  <w:num w:numId="31">
    <w:abstractNumId w:val="3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30"/>
  </w:num>
  <w:num w:numId="35">
    <w:abstractNumId w:val="16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A"/>
    <w:rsid w:val="000356CB"/>
    <w:rsid w:val="00046652"/>
    <w:rsid w:val="00050572"/>
    <w:rsid w:val="00086400"/>
    <w:rsid w:val="000D33CF"/>
    <w:rsid w:val="000E178A"/>
    <w:rsid w:val="000F1EFF"/>
    <w:rsid w:val="00103471"/>
    <w:rsid w:val="00105ACD"/>
    <w:rsid w:val="00124708"/>
    <w:rsid w:val="001356C8"/>
    <w:rsid w:val="001413BC"/>
    <w:rsid w:val="00141C17"/>
    <w:rsid w:val="001528AC"/>
    <w:rsid w:val="001544A3"/>
    <w:rsid w:val="00166801"/>
    <w:rsid w:val="00181BEF"/>
    <w:rsid w:val="001C7843"/>
    <w:rsid w:val="001D2D3C"/>
    <w:rsid w:val="001D30FB"/>
    <w:rsid w:val="001D6F8F"/>
    <w:rsid w:val="001E0F2C"/>
    <w:rsid w:val="001E2CC7"/>
    <w:rsid w:val="001F02B1"/>
    <w:rsid w:val="001F2648"/>
    <w:rsid w:val="001F5FFF"/>
    <w:rsid w:val="00227DCA"/>
    <w:rsid w:val="002345CA"/>
    <w:rsid w:val="0025682D"/>
    <w:rsid w:val="002642CE"/>
    <w:rsid w:val="002677CC"/>
    <w:rsid w:val="002761E6"/>
    <w:rsid w:val="00286804"/>
    <w:rsid w:val="002A31CE"/>
    <w:rsid w:val="002A53B7"/>
    <w:rsid w:val="002B12DF"/>
    <w:rsid w:val="002B4396"/>
    <w:rsid w:val="002D7441"/>
    <w:rsid w:val="00305459"/>
    <w:rsid w:val="00305B25"/>
    <w:rsid w:val="00307373"/>
    <w:rsid w:val="0031598A"/>
    <w:rsid w:val="0032144E"/>
    <w:rsid w:val="003363C1"/>
    <w:rsid w:val="00346DFE"/>
    <w:rsid w:val="00363173"/>
    <w:rsid w:val="003755D6"/>
    <w:rsid w:val="003760C9"/>
    <w:rsid w:val="00377CEC"/>
    <w:rsid w:val="003A76AE"/>
    <w:rsid w:val="00405331"/>
    <w:rsid w:val="004273F4"/>
    <w:rsid w:val="00434E78"/>
    <w:rsid w:val="00450EEA"/>
    <w:rsid w:val="004774B0"/>
    <w:rsid w:val="00487BF2"/>
    <w:rsid w:val="004B7CC6"/>
    <w:rsid w:val="004C426F"/>
    <w:rsid w:val="004E7EE2"/>
    <w:rsid w:val="004F488D"/>
    <w:rsid w:val="004F4D82"/>
    <w:rsid w:val="004F5B08"/>
    <w:rsid w:val="00500B18"/>
    <w:rsid w:val="00501751"/>
    <w:rsid w:val="00513AB7"/>
    <w:rsid w:val="00532F4C"/>
    <w:rsid w:val="005449E1"/>
    <w:rsid w:val="00547034"/>
    <w:rsid w:val="00590709"/>
    <w:rsid w:val="005B70D5"/>
    <w:rsid w:val="005D370F"/>
    <w:rsid w:val="005E25E6"/>
    <w:rsid w:val="005E7652"/>
    <w:rsid w:val="005F5367"/>
    <w:rsid w:val="0060594E"/>
    <w:rsid w:val="006147CE"/>
    <w:rsid w:val="0063407C"/>
    <w:rsid w:val="006477B3"/>
    <w:rsid w:val="00660189"/>
    <w:rsid w:val="00661E84"/>
    <w:rsid w:val="00687205"/>
    <w:rsid w:val="006B3B57"/>
    <w:rsid w:val="006C41DA"/>
    <w:rsid w:val="006E25D0"/>
    <w:rsid w:val="006E55CD"/>
    <w:rsid w:val="006F3352"/>
    <w:rsid w:val="00702533"/>
    <w:rsid w:val="00705613"/>
    <w:rsid w:val="00767C3C"/>
    <w:rsid w:val="00782E40"/>
    <w:rsid w:val="007913B8"/>
    <w:rsid w:val="00792F43"/>
    <w:rsid w:val="007B314B"/>
    <w:rsid w:val="007D4218"/>
    <w:rsid w:val="008003EE"/>
    <w:rsid w:val="008405DC"/>
    <w:rsid w:val="00850778"/>
    <w:rsid w:val="00864593"/>
    <w:rsid w:val="00876DC0"/>
    <w:rsid w:val="008C6828"/>
    <w:rsid w:val="009209F5"/>
    <w:rsid w:val="00926565"/>
    <w:rsid w:val="00930949"/>
    <w:rsid w:val="00933817"/>
    <w:rsid w:val="00946147"/>
    <w:rsid w:val="00976F03"/>
    <w:rsid w:val="00996E72"/>
    <w:rsid w:val="00997565"/>
    <w:rsid w:val="009A51AA"/>
    <w:rsid w:val="009B4E61"/>
    <w:rsid w:val="009B7256"/>
    <w:rsid w:val="009B7761"/>
    <w:rsid w:val="009C37AC"/>
    <w:rsid w:val="009C56F3"/>
    <w:rsid w:val="009D55C0"/>
    <w:rsid w:val="009E56B1"/>
    <w:rsid w:val="009F16D6"/>
    <w:rsid w:val="00A06B06"/>
    <w:rsid w:val="00A06EEC"/>
    <w:rsid w:val="00A21D1E"/>
    <w:rsid w:val="00A25201"/>
    <w:rsid w:val="00A40847"/>
    <w:rsid w:val="00A42866"/>
    <w:rsid w:val="00A46140"/>
    <w:rsid w:val="00A548D8"/>
    <w:rsid w:val="00A61ACE"/>
    <w:rsid w:val="00A710F0"/>
    <w:rsid w:val="00A72F00"/>
    <w:rsid w:val="00A950A1"/>
    <w:rsid w:val="00AD41AE"/>
    <w:rsid w:val="00AE1370"/>
    <w:rsid w:val="00AE41C7"/>
    <w:rsid w:val="00B20715"/>
    <w:rsid w:val="00B2530B"/>
    <w:rsid w:val="00B56081"/>
    <w:rsid w:val="00B70F05"/>
    <w:rsid w:val="00B8541C"/>
    <w:rsid w:val="00B864AE"/>
    <w:rsid w:val="00B90231"/>
    <w:rsid w:val="00BF090D"/>
    <w:rsid w:val="00C03A74"/>
    <w:rsid w:val="00C0568E"/>
    <w:rsid w:val="00C4547F"/>
    <w:rsid w:val="00C9217E"/>
    <w:rsid w:val="00CA692D"/>
    <w:rsid w:val="00CB7D36"/>
    <w:rsid w:val="00CD0174"/>
    <w:rsid w:val="00CF16EE"/>
    <w:rsid w:val="00CF3C4A"/>
    <w:rsid w:val="00CF5C82"/>
    <w:rsid w:val="00D34934"/>
    <w:rsid w:val="00D61554"/>
    <w:rsid w:val="00D971F1"/>
    <w:rsid w:val="00DB46C9"/>
    <w:rsid w:val="00DD05A2"/>
    <w:rsid w:val="00DD322D"/>
    <w:rsid w:val="00DE2621"/>
    <w:rsid w:val="00DE429F"/>
    <w:rsid w:val="00E14912"/>
    <w:rsid w:val="00E26560"/>
    <w:rsid w:val="00E36E70"/>
    <w:rsid w:val="00E400F8"/>
    <w:rsid w:val="00E54033"/>
    <w:rsid w:val="00E64045"/>
    <w:rsid w:val="00E65866"/>
    <w:rsid w:val="00E65C3A"/>
    <w:rsid w:val="00E73213"/>
    <w:rsid w:val="00E7413D"/>
    <w:rsid w:val="00E81352"/>
    <w:rsid w:val="00EB5F98"/>
    <w:rsid w:val="00EB630B"/>
    <w:rsid w:val="00EE3E5F"/>
    <w:rsid w:val="00EF7517"/>
    <w:rsid w:val="00F02FB4"/>
    <w:rsid w:val="00F10AC1"/>
    <w:rsid w:val="00F17781"/>
    <w:rsid w:val="00F31D7A"/>
    <w:rsid w:val="00F42B82"/>
    <w:rsid w:val="00F609B9"/>
    <w:rsid w:val="00F60E01"/>
    <w:rsid w:val="00F754F8"/>
    <w:rsid w:val="00F7608A"/>
    <w:rsid w:val="00F8646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67890F"/>
  <w15:chartTrackingRefBased/>
  <w15:docId w15:val="{BC772938-019B-4D4B-8DF2-36FFB99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B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B08"/>
    <w:pPr>
      <w:ind w:left="720"/>
    </w:pPr>
    <w:rPr>
      <w:rFonts w:ascii="Myriad Pro" w:hAnsi="Myriad Pro"/>
      <w:sz w:val="20"/>
      <w:szCs w:val="20"/>
    </w:rPr>
  </w:style>
  <w:style w:type="character" w:styleId="CommentReference">
    <w:name w:val="annotation reference"/>
    <w:rsid w:val="00377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CEC"/>
    <w:rPr>
      <w:sz w:val="20"/>
      <w:szCs w:val="20"/>
    </w:rPr>
  </w:style>
  <w:style w:type="character" w:customStyle="1" w:styleId="CommentTextChar">
    <w:name w:val="Comment Text Char"/>
    <w:link w:val="CommentText"/>
    <w:rsid w:val="00377C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7CEC"/>
    <w:rPr>
      <w:b/>
      <w:bCs/>
    </w:rPr>
  </w:style>
  <w:style w:type="character" w:customStyle="1" w:styleId="CommentSubjectChar">
    <w:name w:val="Comment Subject Char"/>
    <w:link w:val="CommentSubject"/>
    <w:rsid w:val="00377CEC"/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AD41AE"/>
    <w:pPr>
      <w:jc w:val="center"/>
    </w:pPr>
    <w:rPr>
      <w:b/>
      <w:bCs/>
      <w:szCs w:val="20"/>
    </w:rPr>
  </w:style>
  <w:style w:type="character" w:customStyle="1" w:styleId="BodyTextChar">
    <w:name w:val="Body Text Char"/>
    <w:link w:val="BodyText"/>
    <w:rsid w:val="00AD41AE"/>
    <w:rPr>
      <w:b/>
      <w:bCs/>
      <w:sz w:val="24"/>
    </w:rPr>
  </w:style>
  <w:style w:type="paragraph" w:customStyle="1" w:styleId="Normaltable">
    <w:name w:val="Normal table"/>
    <w:basedOn w:val="Normal"/>
    <w:rsid w:val="00AD41AE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MLAET~1\LOCALS~1\Temp\JOB%20PROFILE%20DESCRIP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BCF7-6DB0-45E2-A5D0-C9D5C04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PROFILE DESCRIPTIONS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DESCRIPTIONS</vt:lpstr>
    </vt:vector>
  </TitlesOfParts>
  <Company>Home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subject/>
  <dc:creator>OM Laetitia</dc:creator>
  <cp:keywords/>
  <cp:lastModifiedBy>UNFPA</cp:lastModifiedBy>
  <cp:revision>2</cp:revision>
  <cp:lastPrinted>2006-12-15T14:06:00Z</cp:lastPrinted>
  <dcterms:created xsi:type="dcterms:W3CDTF">2018-05-14T13:49:00Z</dcterms:created>
  <dcterms:modified xsi:type="dcterms:W3CDTF">2018-05-14T13:49:00Z</dcterms:modified>
</cp:coreProperties>
</file>